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58" w:rsidRPr="002823DD" w:rsidRDefault="00B36A58" w:rsidP="00B36A58">
      <w:pPr>
        <w:jc w:val="center"/>
        <w:rPr>
          <w:b/>
          <w:bCs/>
          <w:sz w:val="22"/>
        </w:rPr>
      </w:pPr>
      <w:r w:rsidRPr="002823DD">
        <w:rPr>
          <w:b/>
          <w:bCs/>
          <w:sz w:val="22"/>
        </w:rPr>
        <w:t xml:space="preserve">Расчет цены заявки _______________ </w:t>
      </w:r>
      <w:r w:rsidRPr="002823DD">
        <w:rPr>
          <w:i/>
          <w:sz w:val="22"/>
        </w:rPr>
        <w:t>(наименование организации)</w:t>
      </w:r>
    </w:p>
    <w:p w:rsidR="00243E69" w:rsidRPr="002823DD" w:rsidRDefault="00B36A58" w:rsidP="00B36A58">
      <w:pPr>
        <w:tabs>
          <w:tab w:val="center" w:pos="4677"/>
          <w:tab w:val="right" w:pos="9355"/>
        </w:tabs>
        <w:jc w:val="center"/>
        <w:rPr>
          <w:b/>
          <w:bCs/>
          <w:i/>
          <w:sz w:val="22"/>
        </w:rPr>
      </w:pPr>
      <w:r w:rsidRPr="002823DD">
        <w:rPr>
          <w:b/>
          <w:bCs/>
          <w:sz w:val="22"/>
        </w:rPr>
        <w:t>на участие в Маркетинговых исследованиях на выполнение работ (оказание услуг)</w:t>
      </w:r>
      <w:r w:rsidRPr="002823DD">
        <w:rPr>
          <w:b/>
          <w:sz w:val="22"/>
        </w:rPr>
        <w:t xml:space="preserve"> </w:t>
      </w:r>
      <w:r w:rsidRPr="002823DD">
        <w:rPr>
          <w:sz w:val="22"/>
        </w:rPr>
        <w:t xml:space="preserve">__________________________________________________ </w:t>
      </w:r>
      <w:r w:rsidR="00F3265D" w:rsidRPr="002823DD">
        <w:rPr>
          <w:i/>
          <w:sz w:val="22"/>
        </w:rPr>
        <w:t>(указать наименование предмета Маркетинговых исследований)</w:t>
      </w:r>
    </w:p>
    <w:p w:rsidR="00243E69" w:rsidRDefault="00243E69" w:rsidP="00243E69">
      <w:pPr>
        <w:tabs>
          <w:tab w:val="center" w:pos="4677"/>
          <w:tab w:val="right" w:pos="9355"/>
        </w:tabs>
        <w:jc w:val="center"/>
      </w:pPr>
    </w:p>
    <w:tbl>
      <w:tblPr>
        <w:tblW w:w="15163" w:type="dxa"/>
        <w:jc w:val="center"/>
        <w:tblLayout w:type="fixed"/>
        <w:tblLook w:val="04A0" w:firstRow="1" w:lastRow="0" w:firstColumn="1" w:lastColumn="0" w:noHBand="0" w:noVBand="1"/>
      </w:tblPr>
      <w:tblGrid>
        <w:gridCol w:w="562"/>
        <w:gridCol w:w="993"/>
        <w:gridCol w:w="4677"/>
        <w:gridCol w:w="1134"/>
        <w:gridCol w:w="851"/>
        <w:gridCol w:w="709"/>
        <w:gridCol w:w="1134"/>
        <w:gridCol w:w="850"/>
        <w:gridCol w:w="992"/>
        <w:gridCol w:w="1276"/>
        <w:gridCol w:w="851"/>
        <w:gridCol w:w="1134"/>
      </w:tblGrid>
      <w:tr w:rsidR="004E3AC2" w:rsidRPr="004E3AC2" w:rsidTr="008500E7">
        <w:trPr>
          <w:trHeight w:val="30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3AC2" w:rsidRPr="004E3AC2" w:rsidRDefault="004E3AC2" w:rsidP="009115D8">
            <w:pPr>
              <w:jc w:val="center"/>
              <w:rPr>
                <w:b/>
                <w:bCs/>
                <w:sz w:val="18"/>
                <w:szCs w:val="18"/>
              </w:rPr>
            </w:pPr>
            <w:r w:rsidRPr="004E3AC2">
              <w:rPr>
                <w:b/>
                <w:bCs/>
                <w:sz w:val="18"/>
                <w:szCs w:val="18"/>
              </w:rPr>
              <w:t>№ п/п</w:t>
            </w:r>
          </w:p>
        </w:tc>
        <w:tc>
          <w:tcPr>
            <w:tcW w:w="993" w:type="dxa"/>
            <w:vMerge w:val="restart"/>
            <w:tcBorders>
              <w:top w:val="single" w:sz="4" w:space="0" w:color="auto"/>
              <w:left w:val="single" w:sz="4" w:space="0" w:color="auto"/>
              <w:right w:val="single" w:sz="4" w:space="0" w:color="auto"/>
            </w:tcBorders>
            <w:shd w:val="clear" w:color="000000" w:fill="BFBFBF"/>
            <w:vAlign w:val="center"/>
          </w:tcPr>
          <w:p w:rsidR="004E3AC2" w:rsidRPr="004E3AC2" w:rsidRDefault="004E3AC2" w:rsidP="004E3AC2">
            <w:pPr>
              <w:jc w:val="center"/>
              <w:rPr>
                <w:b/>
                <w:bCs/>
                <w:sz w:val="18"/>
                <w:szCs w:val="18"/>
              </w:rPr>
            </w:pPr>
            <w:r w:rsidRPr="004E3AC2">
              <w:rPr>
                <w:b/>
                <w:bCs/>
                <w:sz w:val="18"/>
                <w:szCs w:val="18"/>
              </w:rPr>
              <w:t>Артикул</w:t>
            </w:r>
          </w:p>
        </w:tc>
        <w:tc>
          <w:tcPr>
            <w:tcW w:w="46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3AC2" w:rsidRPr="004E3AC2" w:rsidRDefault="004E3AC2" w:rsidP="009115D8">
            <w:pPr>
              <w:jc w:val="center"/>
              <w:rPr>
                <w:b/>
                <w:bCs/>
                <w:sz w:val="18"/>
                <w:szCs w:val="18"/>
              </w:rPr>
            </w:pPr>
            <w:r w:rsidRPr="004E3AC2">
              <w:rPr>
                <w:b/>
                <w:bCs/>
                <w:sz w:val="18"/>
                <w:szCs w:val="18"/>
              </w:rPr>
              <w:t>Наименование программ для ЭВМ</w:t>
            </w:r>
          </w:p>
        </w:tc>
        <w:tc>
          <w:tcPr>
            <w:tcW w:w="1134" w:type="dxa"/>
            <w:vMerge w:val="restart"/>
            <w:tcBorders>
              <w:top w:val="single" w:sz="4" w:space="0" w:color="auto"/>
              <w:left w:val="single" w:sz="4" w:space="0" w:color="auto"/>
              <w:right w:val="single" w:sz="4" w:space="0" w:color="auto"/>
            </w:tcBorders>
            <w:shd w:val="clear" w:color="000000" w:fill="BFBFBF"/>
            <w:vAlign w:val="center"/>
          </w:tcPr>
          <w:p w:rsidR="004E3AC2" w:rsidRPr="004E3AC2" w:rsidRDefault="004E3AC2" w:rsidP="004E3AC2">
            <w:pPr>
              <w:jc w:val="center"/>
              <w:rPr>
                <w:b/>
                <w:bCs/>
                <w:sz w:val="18"/>
                <w:szCs w:val="18"/>
              </w:rPr>
            </w:pPr>
            <w:r w:rsidRPr="004E3AC2">
              <w:rPr>
                <w:b/>
                <w:bCs/>
                <w:sz w:val="18"/>
                <w:szCs w:val="18"/>
              </w:rPr>
              <w:t>Срок действия (включительно)</w:t>
            </w:r>
          </w:p>
        </w:tc>
        <w:tc>
          <w:tcPr>
            <w:tcW w:w="851" w:type="dxa"/>
            <w:vMerge w:val="restart"/>
            <w:tcBorders>
              <w:top w:val="single" w:sz="4" w:space="0" w:color="auto"/>
              <w:left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Единицы измерения</w:t>
            </w:r>
          </w:p>
        </w:tc>
        <w:tc>
          <w:tcPr>
            <w:tcW w:w="709" w:type="dxa"/>
            <w:vMerge w:val="restart"/>
            <w:tcBorders>
              <w:top w:val="single" w:sz="4" w:space="0" w:color="auto"/>
              <w:left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Кол-во</w:t>
            </w:r>
          </w:p>
        </w:tc>
        <w:tc>
          <w:tcPr>
            <w:tcW w:w="2976"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Стоимость за 1 единицу, руб.</w:t>
            </w:r>
          </w:p>
        </w:tc>
        <w:tc>
          <w:tcPr>
            <w:tcW w:w="3261"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Стоимость всего, руб.</w:t>
            </w:r>
          </w:p>
        </w:tc>
      </w:tr>
      <w:tr w:rsidR="004E3AC2" w:rsidRPr="004E3AC2" w:rsidTr="008500E7">
        <w:trPr>
          <w:trHeight w:val="93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E3AC2" w:rsidRPr="004E3AC2" w:rsidRDefault="004E3AC2" w:rsidP="009115D8">
            <w:pPr>
              <w:jc w:val="center"/>
              <w:rPr>
                <w:b/>
                <w:bCs/>
                <w:sz w:val="18"/>
                <w:szCs w:val="18"/>
              </w:rPr>
            </w:pPr>
          </w:p>
        </w:tc>
        <w:tc>
          <w:tcPr>
            <w:tcW w:w="993" w:type="dxa"/>
            <w:vMerge/>
            <w:tcBorders>
              <w:left w:val="single" w:sz="4" w:space="0" w:color="auto"/>
              <w:bottom w:val="single" w:sz="4" w:space="0" w:color="auto"/>
              <w:right w:val="single" w:sz="4" w:space="0" w:color="auto"/>
            </w:tcBorders>
          </w:tcPr>
          <w:p w:rsidR="004E3AC2" w:rsidRPr="004E3AC2" w:rsidRDefault="004E3AC2" w:rsidP="009115D8">
            <w:pPr>
              <w:jc w:val="center"/>
              <w:rPr>
                <w:b/>
                <w:bCs/>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4E3AC2" w:rsidRPr="004E3AC2" w:rsidRDefault="004E3AC2" w:rsidP="009115D8">
            <w:pPr>
              <w:jc w:val="center"/>
              <w:rPr>
                <w:b/>
                <w:bCs/>
                <w:sz w:val="18"/>
                <w:szCs w:val="18"/>
              </w:rPr>
            </w:pPr>
          </w:p>
        </w:tc>
        <w:tc>
          <w:tcPr>
            <w:tcW w:w="1134" w:type="dxa"/>
            <w:vMerge/>
            <w:tcBorders>
              <w:left w:val="single" w:sz="4" w:space="0" w:color="auto"/>
              <w:bottom w:val="single" w:sz="4" w:space="0" w:color="auto"/>
              <w:right w:val="single" w:sz="4" w:space="0" w:color="auto"/>
            </w:tcBorders>
            <w:shd w:val="clear" w:color="000000" w:fill="BFBFBF"/>
            <w:vAlign w:val="center"/>
          </w:tcPr>
          <w:p w:rsidR="004E3AC2" w:rsidRPr="004E3AC2" w:rsidRDefault="004E3AC2" w:rsidP="004E3AC2">
            <w:pPr>
              <w:jc w:val="center"/>
              <w:rPr>
                <w:b/>
                <w:bCs/>
                <w:sz w:val="18"/>
                <w:szCs w:val="18"/>
              </w:rPr>
            </w:pPr>
          </w:p>
        </w:tc>
        <w:tc>
          <w:tcPr>
            <w:tcW w:w="851" w:type="dxa"/>
            <w:vMerge/>
            <w:tcBorders>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rPr>
                <w:b/>
                <w:bCs/>
                <w:sz w:val="18"/>
                <w:szCs w:val="18"/>
              </w:rPr>
            </w:pPr>
          </w:p>
        </w:tc>
        <w:tc>
          <w:tcPr>
            <w:tcW w:w="709" w:type="dxa"/>
            <w:vMerge/>
            <w:tcBorders>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Без учета НДС</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НДС</w:t>
            </w:r>
            <w:r w:rsidR="005579C0">
              <w:rPr>
                <w:rStyle w:val="a5"/>
                <w:b/>
                <w:bCs/>
                <w:sz w:val="18"/>
                <w:szCs w:val="18"/>
              </w:rPr>
              <w:footnoteReference w:id="1"/>
            </w:r>
            <w:r w:rsidR="005579C0">
              <w:rPr>
                <w:b/>
                <w:bCs/>
                <w:sz w:val="18"/>
                <w:szCs w:val="18"/>
              </w:rPr>
              <w:t>,</w:t>
            </w:r>
            <w:r w:rsidR="005579C0">
              <w:rPr>
                <w:rStyle w:val="a5"/>
                <w:b/>
                <w:bCs/>
                <w:sz w:val="18"/>
                <w:szCs w:val="18"/>
              </w:rPr>
              <w:footnoteReference w:id="2"/>
            </w:r>
            <w:r w:rsidRPr="004E3AC2">
              <w:rPr>
                <w:b/>
                <w:bCs/>
                <w:sz w:val="18"/>
                <w:szCs w:val="18"/>
              </w:rPr>
              <w:t xml:space="preserve"> (20%)</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С учетом НДС</w:t>
            </w:r>
            <w:r w:rsidR="005579C0">
              <w:rPr>
                <w:rStyle w:val="a5"/>
                <w:b/>
                <w:bCs/>
                <w:sz w:val="18"/>
                <w:szCs w:val="18"/>
              </w:rPr>
              <w:footnoteReference w:id="3"/>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vertAlign w:val="superscript"/>
              </w:rPr>
            </w:pPr>
            <w:r w:rsidRPr="004E3AC2">
              <w:rPr>
                <w:b/>
                <w:bCs/>
                <w:sz w:val="18"/>
                <w:szCs w:val="18"/>
              </w:rPr>
              <w:t>Всего без учета НДС</w:t>
            </w:r>
          </w:p>
        </w:tc>
        <w:tc>
          <w:tcPr>
            <w:tcW w:w="851" w:type="dxa"/>
            <w:tcBorders>
              <w:top w:val="single" w:sz="4" w:space="0" w:color="auto"/>
              <w:left w:val="nil"/>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vertAlign w:val="superscript"/>
              </w:rPr>
            </w:pPr>
            <w:r w:rsidRPr="004E3AC2">
              <w:rPr>
                <w:b/>
                <w:bCs/>
                <w:sz w:val="18"/>
                <w:szCs w:val="18"/>
              </w:rPr>
              <w:t>НДС</w:t>
            </w:r>
            <w:r w:rsidR="005579C0">
              <w:rPr>
                <w:rStyle w:val="a5"/>
                <w:b/>
                <w:bCs/>
                <w:sz w:val="18"/>
                <w:szCs w:val="18"/>
              </w:rPr>
              <w:footnoteReference w:id="4"/>
            </w:r>
            <w:r w:rsidR="005579C0">
              <w:rPr>
                <w:b/>
                <w:bCs/>
                <w:sz w:val="18"/>
                <w:szCs w:val="18"/>
              </w:rPr>
              <w:t>,</w:t>
            </w:r>
            <w:r w:rsidR="005579C0">
              <w:rPr>
                <w:rStyle w:val="a5"/>
                <w:b/>
                <w:bCs/>
                <w:sz w:val="18"/>
                <w:szCs w:val="18"/>
              </w:rPr>
              <w:footnoteReference w:id="5"/>
            </w:r>
            <w:r w:rsidRPr="004E3AC2">
              <w:rPr>
                <w:b/>
                <w:bCs/>
                <w:sz w:val="18"/>
                <w:szCs w:val="18"/>
              </w:rPr>
              <w:t xml:space="preserve"> (20%)</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4E3AC2" w:rsidRPr="004E3AC2" w:rsidRDefault="004E3AC2" w:rsidP="009115D8">
            <w:pPr>
              <w:jc w:val="center"/>
              <w:rPr>
                <w:b/>
                <w:bCs/>
                <w:sz w:val="18"/>
                <w:szCs w:val="18"/>
              </w:rPr>
            </w:pPr>
            <w:r w:rsidRPr="004E3AC2">
              <w:rPr>
                <w:b/>
                <w:bCs/>
                <w:sz w:val="18"/>
                <w:szCs w:val="18"/>
              </w:rPr>
              <w:t>Итого с учетом НДС</w:t>
            </w:r>
            <w:r w:rsidR="005579C0">
              <w:rPr>
                <w:rStyle w:val="a5"/>
                <w:b/>
                <w:bCs/>
                <w:sz w:val="18"/>
                <w:szCs w:val="18"/>
              </w:rPr>
              <w:footnoteReference w:id="6"/>
            </w:r>
          </w:p>
        </w:tc>
      </w:tr>
      <w:tr w:rsidR="004E3AC2" w:rsidRPr="004E3AC2" w:rsidTr="008500E7">
        <w:trPr>
          <w:trHeight w:val="300"/>
          <w:jc w:val="center"/>
        </w:trPr>
        <w:tc>
          <w:tcPr>
            <w:tcW w:w="562" w:type="dxa"/>
            <w:tcBorders>
              <w:top w:val="single" w:sz="4" w:space="0" w:color="auto"/>
              <w:left w:val="single" w:sz="4" w:space="0" w:color="auto"/>
              <w:bottom w:val="nil"/>
              <w:right w:val="single" w:sz="4" w:space="0" w:color="auto"/>
            </w:tcBorders>
            <w:shd w:val="clear" w:color="000000" w:fill="BFBFBF"/>
            <w:vAlign w:val="center"/>
            <w:hideMark/>
          </w:tcPr>
          <w:p w:rsidR="004E3AC2" w:rsidRPr="004E3AC2" w:rsidRDefault="004E3AC2" w:rsidP="005579C0">
            <w:pPr>
              <w:jc w:val="center"/>
              <w:rPr>
                <w:b/>
                <w:bCs/>
                <w:sz w:val="18"/>
                <w:szCs w:val="18"/>
              </w:rPr>
            </w:pPr>
            <w:r w:rsidRPr="004E3AC2">
              <w:rPr>
                <w:b/>
                <w:bCs/>
                <w:sz w:val="18"/>
                <w:szCs w:val="18"/>
              </w:rPr>
              <w:t>1</w:t>
            </w:r>
          </w:p>
        </w:tc>
        <w:tc>
          <w:tcPr>
            <w:tcW w:w="993" w:type="dxa"/>
            <w:tcBorders>
              <w:top w:val="single" w:sz="4" w:space="0" w:color="auto"/>
              <w:left w:val="nil"/>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2</w:t>
            </w:r>
          </w:p>
        </w:tc>
        <w:tc>
          <w:tcPr>
            <w:tcW w:w="4677" w:type="dxa"/>
            <w:tcBorders>
              <w:top w:val="single" w:sz="4" w:space="0" w:color="auto"/>
              <w:left w:val="single" w:sz="4" w:space="0" w:color="auto"/>
              <w:bottom w:val="nil"/>
              <w:right w:val="single" w:sz="4" w:space="0" w:color="auto"/>
            </w:tcBorders>
            <w:shd w:val="clear" w:color="000000" w:fill="BFBFBF"/>
            <w:vAlign w:val="center"/>
            <w:hideMark/>
          </w:tcPr>
          <w:p w:rsidR="004E3AC2" w:rsidRPr="004E3AC2" w:rsidRDefault="004E3AC2" w:rsidP="005579C0">
            <w:pPr>
              <w:jc w:val="center"/>
              <w:rPr>
                <w:b/>
                <w:bCs/>
                <w:sz w:val="18"/>
                <w:szCs w:val="18"/>
              </w:rPr>
            </w:pPr>
            <w:r>
              <w:rPr>
                <w:b/>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10</w:t>
            </w:r>
          </w:p>
        </w:tc>
        <w:tc>
          <w:tcPr>
            <w:tcW w:w="851" w:type="dxa"/>
            <w:tcBorders>
              <w:top w:val="single" w:sz="4" w:space="0" w:color="auto"/>
              <w:left w:val="nil"/>
              <w:bottom w:val="nil"/>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11</w:t>
            </w:r>
          </w:p>
        </w:tc>
        <w:tc>
          <w:tcPr>
            <w:tcW w:w="1134" w:type="dxa"/>
            <w:tcBorders>
              <w:top w:val="single" w:sz="4" w:space="0" w:color="auto"/>
              <w:left w:val="nil"/>
              <w:bottom w:val="nil"/>
              <w:right w:val="single" w:sz="4" w:space="0" w:color="auto"/>
            </w:tcBorders>
            <w:shd w:val="clear" w:color="000000" w:fill="BFBFBF"/>
            <w:vAlign w:val="center"/>
          </w:tcPr>
          <w:p w:rsidR="004E3AC2" w:rsidRPr="004E3AC2" w:rsidRDefault="004E3AC2" w:rsidP="005579C0">
            <w:pPr>
              <w:jc w:val="center"/>
              <w:rPr>
                <w:b/>
                <w:bCs/>
                <w:sz w:val="18"/>
                <w:szCs w:val="18"/>
              </w:rPr>
            </w:pPr>
            <w:r>
              <w:rPr>
                <w:b/>
                <w:bCs/>
                <w:sz w:val="18"/>
                <w:szCs w:val="18"/>
              </w:rPr>
              <w:t>12</w:t>
            </w:r>
          </w:p>
        </w:tc>
      </w:tr>
      <w:tr w:rsidR="008500E7" w:rsidRPr="004E3AC2" w:rsidTr="008500E7">
        <w:trPr>
          <w:trHeight w:val="40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0E7" w:rsidRPr="004E3AC2" w:rsidRDefault="008500E7" w:rsidP="008500E7">
            <w:pPr>
              <w:jc w:val="center"/>
              <w:rPr>
                <w:sz w:val="18"/>
                <w:szCs w:val="18"/>
              </w:rPr>
            </w:pPr>
            <w:r w:rsidRPr="004E3AC2">
              <w:rPr>
                <w:sz w:val="18"/>
                <w:szCs w:val="18"/>
              </w:rPr>
              <w:t>1</w:t>
            </w:r>
          </w:p>
        </w:tc>
        <w:tc>
          <w:tcPr>
            <w:tcW w:w="993" w:type="dxa"/>
            <w:tcBorders>
              <w:top w:val="single" w:sz="4" w:space="0" w:color="auto"/>
              <w:left w:val="nil"/>
              <w:bottom w:val="single" w:sz="4" w:space="0" w:color="auto"/>
              <w:right w:val="single" w:sz="4" w:space="0" w:color="auto"/>
            </w:tcBorders>
            <w:vAlign w:val="center"/>
          </w:tcPr>
          <w:p w:rsidR="008500E7" w:rsidRPr="004E3AC2" w:rsidRDefault="008500E7" w:rsidP="008500E7">
            <w:pPr>
              <w:jc w:val="center"/>
              <w:rPr>
                <w:sz w:val="18"/>
                <w:szCs w:val="18"/>
                <w:lang w:val="en-US"/>
              </w:rPr>
            </w:pPr>
            <w:r>
              <w:rPr>
                <w:sz w:val="18"/>
                <w:szCs w:val="18"/>
                <w:lang w:val="en-US"/>
              </w:rPr>
              <w:t>CGP-B</w:t>
            </w:r>
            <w:r w:rsidRPr="004E3AC2">
              <w:rPr>
                <w:sz w:val="18"/>
                <w:szCs w:val="18"/>
                <w:lang w:val="en-US"/>
              </w:rPr>
              <w:t>OC-0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0E7" w:rsidRPr="004E3AC2" w:rsidRDefault="008500E7" w:rsidP="008500E7">
            <w:pPr>
              <w:jc w:val="both"/>
              <w:rPr>
                <w:sz w:val="18"/>
                <w:szCs w:val="18"/>
                <w:lang w:val="en-US"/>
              </w:rPr>
            </w:pPr>
            <w:proofErr w:type="spellStart"/>
            <w:r w:rsidRPr="004E3AC2">
              <w:rPr>
                <w:sz w:val="18"/>
                <w:szCs w:val="18"/>
                <w:lang w:val="en-US"/>
              </w:rPr>
              <w:t>CommuniGate</w:t>
            </w:r>
            <w:proofErr w:type="spellEnd"/>
            <w:r w:rsidRPr="004E3AC2">
              <w:rPr>
                <w:sz w:val="18"/>
                <w:szCs w:val="18"/>
                <w:lang w:val="en-US"/>
              </w:rPr>
              <w:t xml:space="preserve"> Pro </w:t>
            </w:r>
            <w:proofErr w:type="spellStart"/>
            <w:r w:rsidRPr="004E3AC2">
              <w:rPr>
                <w:sz w:val="18"/>
                <w:szCs w:val="18"/>
                <w:lang w:val="en-US"/>
              </w:rPr>
              <w:t>ver</w:t>
            </w:r>
            <w:proofErr w:type="spellEnd"/>
            <w:r w:rsidRPr="004E3AC2">
              <w:rPr>
                <w:sz w:val="18"/>
                <w:szCs w:val="18"/>
                <w:lang w:val="en-US"/>
              </w:rPr>
              <w:t xml:space="preserve"> 6.3 </w:t>
            </w:r>
            <w:proofErr w:type="spellStart"/>
            <w:r>
              <w:rPr>
                <w:sz w:val="18"/>
                <w:szCs w:val="18"/>
                <w:lang w:val="en-US"/>
              </w:rPr>
              <w:t>Back</w:t>
            </w:r>
            <w:r w:rsidRPr="004E3AC2">
              <w:rPr>
                <w:sz w:val="18"/>
                <w:szCs w:val="18"/>
                <w:lang w:val="en-US"/>
              </w:rPr>
              <w:t>End</w:t>
            </w:r>
            <w:proofErr w:type="spellEnd"/>
            <w:r w:rsidRPr="004E3AC2">
              <w:rPr>
                <w:sz w:val="18"/>
                <w:szCs w:val="18"/>
                <w:lang w:val="en-US"/>
              </w:rPr>
              <w:t xml:space="preserve"> </w:t>
            </w:r>
            <w:proofErr w:type="spellStart"/>
            <w:r w:rsidRPr="004E3AC2">
              <w:rPr>
                <w:sz w:val="18"/>
                <w:szCs w:val="18"/>
                <w:lang w:val="en-US"/>
              </w:rPr>
              <w:t>ClusterReady</w:t>
            </w:r>
            <w:proofErr w:type="spellEnd"/>
            <w:r w:rsidRPr="004E3AC2">
              <w:rPr>
                <w:sz w:val="18"/>
                <w:szCs w:val="1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8500E7" w:rsidRPr="004E3AC2" w:rsidRDefault="008500E7" w:rsidP="008500E7">
            <w:pPr>
              <w:ind w:left="-108" w:right="-112"/>
              <w:jc w:val="center"/>
              <w:rPr>
                <w:color w:val="000000"/>
                <w:sz w:val="18"/>
                <w:szCs w:val="18"/>
              </w:rPr>
            </w:pPr>
            <w:r>
              <w:rPr>
                <w:color w:val="000000"/>
                <w:sz w:val="18"/>
                <w:szCs w:val="18"/>
              </w:rPr>
              <w:t>Бессрочная</w:t>
            </w:r>
          </w:p>
        </w:tc>
        <w:tc>
          <w:tcPr>
            <w:tcW w:w="851"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rPr>
            </w:pPr>
            <w:r w:rsidRPr="004E3AC2">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rPr>
            </w:pPr>
            <w:r w:rsidRPr="004E3AC2">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r>
      <w:tr w:rsidR="008500E7" w:rsidRPr="004E3AC2" w:rsidTr="008500E7">
        <w:trPr>
          <w:trHeight w:val="40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sz w:val="18"/>
                <w:szCs w:val="18"/>
              </w:rPr>
            </w:pPr>
            <w:r w:rsidRPr="004E3AC2">
              <w:rPr>
                <w:sz w:val="18"/>
                <w:szCs w:val="18"/>
              </w:rPr>
              <w:t>2</w:t>
            </w:r>
          </w:p>
        </w:tc>
        <w:tc>
          <w:tcPr>
            <w:tcW w:w="993" w:type="dxa"/>
            <w:tcBorders>
              <w:top w:val="single" w:sz="4" w:space="0" w:color="auto"/>
              <w:left w:val="nil"/>
              <w:bottom w:val="single" w:sz="4" w:space="0" w:color="auto"/>
              <w:right w:val="single" w:sz="4" w:space="0" w:color="auto"/>
            </w:tcBorders>
            <w:vAlign w:val="center"/>
          </w:tcPr>
          <w:p w:rsidR="008500E7" w:rsidRPr="004E3AC2" w:rsidRDefault="008500E7" w:rsidP="008500E7">
            <w:pPr>
              <w:jc w:val="center"/>
              <w:rPr>
                <w:sz w:val="18"/>
                <w:szCs w:val="18"/>
                <w:lang w:val="en-US"/>
              </w:rPr>
            </w:pPr>
            <w:r>
              <w:rPr>
                <w:sz w:val="18"/>
                <w:szCs w:val="18"/>
                <w:lang w:val="en-US"/>
              </w:rPr>
              <w:t>CGP-F</w:t>
            </w:r>
            <w:r w:rsidRPr="004E3AC2">
              <w:rPr>
                <w:sz w:val="18"/>
                <w:szCs w:val="18"/>
                <w:lang w:val="en-US"/>
              </w:rPr>
              <w:t>OC-0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500E7" w:rsidRPr="004E3AC2" w:rsidRDefault="008500E7" w:rsidP="008500E7">
            <w:pPr>
              <w:jc w:val="both"/>
              <w:rPr>
                <w:sz w:val="18"/>
                <w:szCs w:val="18"/>
                <w:lang w:val="en-US"/>
              </w:rPr>
            </w:pPr>
            <w:proofErr w:type="spellStart"/>
            <w:r w:rsidRPr="004E3AC2">
              <w:rPr>
                <w:sz w:val="18"/>
                <w:szCs w:val="18"/>
                <w:lang w:val="en-US"/>
              </w:rPr>
              <w:t>CommuniGate</w:t>
            </w:r>
            <w:proofErr w:type="spellEnd"/>
            <w:r w:rsidRPr="004E3AC2">
              <w:rPr>
                <w:sz w:val="18"/>
                <w:szCs w:val="18"/>
                <w:lang w:val="en-US"/>
              </w:rPr>
              <w:t xml:space="preserve"> Pro </w:t>
            </w:r>
            <w:proofErr w:type="spellStart"/>
            <w:r w:rsidRPr="004E3AC2">
              <w:rPr>
                <w:sz w:val="18"/>
                <w:szCs w:val="18"/>
                <w:lang w:val="en-US"/>
              </w:rPr>
              <w:t>ver</w:t>
            </w:r>
            <w:proofErr w:type="spellEnd"/>
            <w:r w:rsidRPr="004E3AC2">
              <w:rPr>
                <w:sz w:val="18"/>
                <w:szCs w:val="18"/>
                <w:lang w:val="en-US"/>
              </w:rPr>
              <w:t xml:space="preserve"> 6.3 </w:t>
            </w:r>
            <w:proofErr w:type="spellStart"/>
            <w:r w:rsidRPr="004E3AC2">
              <w:rPr>
                <w:sz w:val="18"/>
                <w:szCs w:val="18"/>
                <w:lang w:val="en-US"/>
              </w:rPr>
              <w:t>FrontEnd</w:t>
            </w:r>
            <w:proofErr w:type="spellEnd"/>
            <w:r w:rsidRPr="004E3AC2">
              <w:rPr>
                <w:sz w:val="18"/>
                <w:szCs w:val="18"/>
                <w:lang w:val="en-US"/>
              </w:rPr>
              <w:t xml:space="preserve"> </w:t>
            </w:r>
            <w:proofErr w:type="spellStart"/>
            <w:r w:rsidRPr="004E3AC2">
              <w:rPr>
                <w:sz w:val="18"/>
                <w:szCs w:val="18"/>
                <w:lang w:val="en-US"/>
              </w:rPr>
              <w:t>ClusterReady</w:t>
            </w:r>
            <w:proofErr w:type="spellEnd"/>
            <w:r w:rsidRPr="004E3AC2">
              <w:rPr>
                <w:sz w:val="18"/>
                <w:szCs w:val="1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8500E7" w:rsidRPr="004E3AC2" w:rsidRDefault="008500E7" w:rsidP="008500E7">
            <w:pPr>
              <w:ind w:left="-108" w:right="-112"/>
              <w:jc w:val="center"/>
              <w:rPr>
                <w:color w:val="000000"/>
                <w:sz w:val="18"/>
                <w:szCs w:val="18"/>
              </w:rPr>
            </w:pPr>
            <w:r>
              <w:rPr>
                <w:color w:val="000000"/>
                <w:sz w:val="18"/>
                <w:szCs w:val="18"/>
              </w:rPr>
              <w:t>Бессрочная</w:t>
            </w:r>
          </w:p>
        </w:tc>
        <w:tc>
          <w:tcPr>
            <w:tcW w:w="851"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lang w:val="en-US"/>
              </w:rPr>
            </w:pPr>
            <w:r w:rsidRPr="004E3AC2">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rPr>
            </w:pPr>
            <w:r w:rsidRPr="004E3AC2">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lang w:val="en-US"/>
              </w:rPr>
            </w:pPr>
          </w:p>
        </w:tc>
      </w:tr>
      <w:tr w:rsidR="008500E7" w:rsidRPr="004E3AC2" w:rsidTr="008500E7">
        <w:trPr>
          <w:trHeight w:val="40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sz w:val="18"/>
                <w:szCs w:val="18"/>
              </w:rPr>
            </w:pPr>
            <w:r w:rsidRPr="004E3AC2">
              <w:rPr>
                <w:sz w:val="18"/>
                <w:szCs w:val="18"/>
              </w:rPr>
              <w:t>3</w:t>
            </w:r>
          </w:p>
        </w:tc>
        <w:tc>
          <w:tcPr>
            <w:tcW w:w="993" w:type="dxa"/>
            <w:tcBorders>
              <w:top w:val="single" w:sz="4" w:space="0" w:color="auto"/>
              <w:left w:val="nil"/>
              <w:bottom w:val="single" w:sz="4" w:space="0" w:color="auto"/>
              <w:right w:val="single" w:sz="4" w:space="0" w:color="auto"/>
            </w:tcBorders>
            <w:vAlign w:val="center"/>
          </w:tcPr>
          <w:p w:rsidR="008500E7" w:rsidRPr="004E3AC2" w:rsidRDefault="008500E7" w:rsidP="008500E7">
            <w:pPr>
              <w:jc w:val="center"/>
              <w:rPr>
                <w:sz w:val="18"/>
                <w:szCs w:val="18"/>
                <w:lang w:val="en-US"/>
              </w:rPr>
            </w:pPr>
            <w:r w:rsidRPr="004E3AC2">
              <w:rPr>
                <w:sz w:val="18"/>
                <w:szCs w:val="18"/>
                <w:lang w:val="en-US"/>
              </w:rPr>
              <w:t>CGP-COC-100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500E7" w:rsidRPr="004E3AC2" w:rsidRDefault="008500E7" w:rsidP="008500E7">
            <w:pPr>
              <w:jc w:val="both"/>
              <w:rPr>
                <w:sz w:val="18"/>
                <w:szCs w:val="18"/>
                <w:lang w:val="en-US"/>
              </w:rPr>
            </w:pPr>
            <w:proofErr w:type="spellStart"/>
            <w:r w:rsidRPr="004E3AC2">
              <w:rPr>
                <w:sz w:val="18"/>
                <w:szCs w:val="18"/>
                <w:lang w:val="en-US"/>
              </w:rPr>
              <w:t>CommuniGate</w:t>
            </w:r>
            <w:proofErr w:type="spellEnd"/>
            <w:r w:rsidRPr="004E3AC2">
              <w:rPr>
                <w:sz w:val="18"/>
                <w:szCs w:val="18"/>
                <w:lang w:val="en-US"/>
              </w:rPr>
              <w:t xml:space="preserve"> Pro </w:t>
            </w:r>
            <w:proofErr w:type="spellStart"/>
            <w:r w:rsidRPr="004E3AC2">
              <w:rPr>
                <w:sz w:val="18"/>
                <w:szCs w:val="18"/>
                <w:lang w:val="en-US"/>
              </w:rPr>
              <w:t>ver</w:t>
            </w:r>
            <w:proofErr w:type="spellEnd"/>
            <w:r w:rsidRPr="004E3AC2">
              <w:rPr>
                <w:sz w:val="18"/>
                <w:szCs w:val="18"/>
                <w:lang w:val="en-US"/>
              </w:rPr>
              <w:t xml:space="preserve"> 6.3 Corporate </w:t>
            </w:r>
            <w:proofErr w:type="spellStart"/>
            <w:r w:rsidRPr="004E3AC2">
              <w:rPr>
                <w:sz w:val="18"/>
                <w:szCs w:val="18"/>
                <w:lang w:val="en-US"/>
              </w:rPr>
              <w:t>ClusterReady</w:t>
            </w:r>
            <w:proofErr w:type="spellEnd"/>
            <w:r w:rsidRPr="004E3AC2">
              <w:rPr>
                <w:sz w:val="18"/>
                <w:szCs w:val="18"/>
                <w:lang w:val="en-US"/>
              </w:rPr>
              <w:t xml:space="preserve"> 100 Users</w:t>
            </w:r>
          </w:p>
        </w:tc>
        <w:tc>
          <w:tcPr>
            <w:tcW w:w="1134" w:type="dxa"/>
            <w:tcBorders>
              <w:top w:val="single" w:sz="4" w:space="0" w:color="auto"/>
              <w:left w:val="single" w:sz="4" w:space="0" w:color="auto"/>
              <w:bottom w:val="single" w:sz="4" w:space="0" w:color="auto"/>
              <w:right w:val="single" w:sz="4" w:space="0" w:color="auto"/>
            </w:tcBorders>
          </w:tcPr>
          <w:p w:rsidR="008500E7" w:rsidRPr="004E3AC2" w:rsidRDefault="008500E7" w:rsidP="008500E7">
            <w:pPr>
              <w:ind w:left="-108" w:right="-112"/>
              <w:jc w:val="center"/>
              <w:rPr>
                <w:color w:val="000000"/>
                <w:sz w:val="18"/>
                <w:szCs w:val="18"/>
              </w:rPr>
            </w:pPr>
            <w:r>
              <w:rPr>
                <w:color w:val="000000"/>
                <w:sz w:val="18"/>
                <w:szCs w:val="18"/>
              </w:rPr>
              <w:t>Бессрочная</w:t>
            </w:r>
          </w:p>
        </w:tc>
        <w:tc>
          <w:tcPr>
            <w:tcW w:w="851"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lang w:val="en-US"/>
              </w:rPr>
            </w:pPr>
            <w:r w:rsidRPr="004E3AC2">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lang w:val="en-US"/>
              </w:rPr>
            </w:pPr>
          </w:p>
        </w:tc>
      </w:tr>
      <w:tr w:rsidR="008500E7" w:rsidRPr="004E3AC2" w:rsidTr="008500E7">
        <w:trPr>
          <w:trHeight w:val="40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sz w:val="18"/>
                <w:szCs w:val="18"/>
              </w:rPr>
            </w:pPr>
            <w:r w:rsidRPr="004E3AC2">
              <w:rPr>
                <w:sz w:val="18"/>
                <w:szCs w:val="18"/>
              </w:rPr>
              <w:t>4</w:t>
            </w:r>
          </w:p>
        </w:tc>
        <w:tc>
          <w:tcPr>
            <w:tcW w:w="993" w:type="dxa"/>
            <w:tcBorders>
              <w:top w:val="single" w:sz="4" w:space="0" w:color="auto"/>
              <w:left w:val="nil"/>
              <w:bottom w:val="single" w:sz="4" w:space="0" w:color="auto"/>
              <w:right w:val="single" w:sz="4" w:space="0" w:color="auto"/>
            </w:tcBorders>
            <w:vAlign w:val="center"/>
          </w:tcPr>
          <w:p w:rsidR="008500E7" w:rsidRPr="004E3AC2" w:rsidRDefault="008500E7" w:rsidP="008500E7">
            <w:pPr>
              <w:jc w:val="center"/>
              <w:rPr>
                <w:sz w:val="18"/>
                <w:szCs w:val="18"/>
                <w:lang w:val="en-US"/>
              </w:rPr>
            </w:pPr>
            <w:r w:rsidRPr="004E3AC2">
              <w:rPr>
                <w:sz w:val="18"/>
                <w:szCs w:val="18"/>
                <w:lang w:val="en-US"/>
              </w:rPr>
              <w:t>SAM-POD-1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500E7" w:rsidRPr="004E3AC2" w:rsidRDefault="008500E7" w:rsidP="008500E7">
            <w:pPr>
              <w:jc w:val="both"/>
              <w:rPr>
                <w:sz w:val="18"/>
                <w:szCs w:val="18"/>
                <w:lang w:val="en-US"/>
              </w:rPr>
            </w:pPr>
            <w:proofErr w:type="spellStart"/>
            <w:r w:rsidRPr="004E3AC2">
              <w:rPr>
                <w:sz w:val="18"/>
                <w:szCs w:val="18"/>
                <w:lang w:val="en-US"/>
              </w:rPr>
              <w:t>Samoware</w:t>
            </w:r>
            <w:proofErr w:type="spellEnd"/>
            <w:r w:rsidRPr="004E3AC2">
              <w:rPr>
                <w:sz w:val="18"/>
                <w:szCs w:val="18"/>
                <w:lang w:val="en-US"/>
              </w:rPr>
              <w:t xml:space="preserve"> Personal Desktop </w:t>
            </w:r>
          </w:p>
        </w:tc>
        <w:tc>
          <w:tcPr>
            <w:tcW w:w="1134" w:type="dxa"/>
            <w:tcBorders>
              <w:top w:val="single" w:sz="4" w:space="0" w:color="auto"/>
              <w:left w:val="single" w:sz="4" w:space="0" w:color="auto"/>
              <w:bottom w:val="single" w:sz="4" w:space="0" w:color="auto"/>
              <w:right w:val="single" w:sz="4" w:space="0" w:color="auto"/>
            </w:tcBorders>
          </w:tcPr>
          <w:p w:rsidR="008500E7" w:rsidRPr="004E3AC2" w:rsidRDefault="008500E7" w:rsidP="008500E7">
            <w:pPr>
              <w:ind w:left="-108" w:right="-112"/>
              <w:jc w:val="center"/>
              <w:rPr>
                <w:color w:val="000000"/>
                <w:sz w:val="18"/>
                <w:szCs w:val="18"/>
              </w:rPr>
            </w:pPr>
            <w:r>
              <w:rPr>
                <w:color w:val="000000"/>
                <w:sz w:val="18"/>
                <w:szCs w:val="18"/>
              </w:rPr>
              <w:t>Бессрочная</w:t>
            </w:r>
          </w:p>
        </w:tc>
        <w:tc>
          <w:tcPr>
            <w:tcW w:w="851"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lang w:val="en-US"/>
              </w:rPr>
            </w:pPr>
            <w:r w:rsidRPr="004E3AC2">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ind w:left="-108" w:right="-112"/>
              <w:jc w:val="center"/>
              <w:rPr>
                <w:color w:val="000000"/>
                <w:sz w:val="18"/>
                <w:szCs w:val="18"/>
              </w:rPr>
            </w:pPr>
            <w:r>
              <w:rPr>
                <w:color w:val="000000"/>
                <w:sz w:val="18"/>
                <w:szCs w:val="18"/>
              </w:rPr>
              <w:t>5</w:t>
            </w:r>
            <w:r w:rsidRPr="004E3AC2">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500E7" w:rsidRPr="004E3AC2" w:rsidRDefault="008500E7" w:rsidP="008500E7">
            <w:pPr>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500E7" w:rsidRPr="004E3AC2" w:rsidRDefault="008500E7" w:rsidP="008500E7">
            <w:pPr>
              <w:jc w:val="center"/>
              <w:rPr>
                <w:color w:val="000000"/>
                <w:sz w:val="18"/>
                <w:szCs w:val="18"/>
                <w:lang w:val="en-US"/>
              </w:rPr>
            </w:pPr>
          </w:p>
        </w:tc>
      </w:tr>
      <w:tr w:rsidR="004E3AC2" w:rsidRPr="004E3AC2" w:rsidTr="005579C0">
        <w:trPr>
          <w:trHeight w:val="435"/>
          <w:jc w:val="center"/>
        </w:trPr>
        <w:tc>
          <w:tcPr>
            <w:tcW w:w="11902" w:type="dxa"/>
            <w:gridSpan w:val="9"/>
            <w:tcBorders>
              <w:top w:val="nil"/>
              <w:left w:val="single" w:sz="4" w:space="0" w:color="auto"/>
              <w:bottom w:val="single" w:sz="4" w:space="0" w:color="auto"/>
              <w:right w:val="single" w:sz="4" w:space="0" w:color="auto"/>
            </w:tcBorders>
            <w:shd w:val="clear" w:color="000000" w:fill="DCE6F1"/>
            <w:vAlign w:val="center"/>
          </w:tcPr>
          <w:p w:rsidR="004E3AC2" w:rsidRPr="004E3AC2" w:rsidRDefault="004E3AC2" w:rsidP="004E3AC2">
            <w:pPr>
              <w:jc w:val="right"/>
              <w:rPr>
                <w:b/>
                <w:bCs/>
                <w:sz w:val="18"/>
                <w:szCs w:val="18"/>
              </w:rPr>
            </w:pPr>
            <w:r w:rsidRPr="004E3AC2">
              <w:rPr>
                <w:b/>
                <w:bCs/>
                <w:sz w:val="18"/>
                <w:szCs w:val="18"/>
              </w:rPr>
              <w:t xml:space="preserve"> Итого:</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E3AC2" w:rsidRPr="004E3AC2" w:rsidRDefault="004E3AC2" w:rsidP="009115D8">
            <w:pPr>
              <w:jc w:val="center"/>
              <w:rPr>
                <w:b/>
                <w:bCs/>
                <w:sz w:val="18"/>
                <w:szCs w:val="18"/>
              </w:rPr>
            </w:pPr>
          </w:p>
        </w:tc>
        <w:tc>
          <w:tcPr>
            <w:tcW w:w="851" w:type="dxa"/>
            <w:tcBorders>
              <w:top w:val="nil"/>
              <w:left w:val="single" w:sz="4" w:space="0" w:color="auto"/>
              <w:bottom w:val="single" w:sz="4" w:space="0" w:color="auto"/>
              <w:right w:val="single" w:sz="4" w:space="0" w:color="auto"/>
            </w:tcBorders>
            <w:shd w:val="clear" w:color="000000" w:fill="DCE6F1"/>
            <w:vAlign w:val="center"/>
          </w:tcPr>
          <w:p w:rsidR="004E3AC2" w:rsidRPr="004E3AC2" w:rsidRDefault="004E3AC2" w:rsidP="009115D8">
            <w:pPr>
              <w:jc w:val="center"/>
              <w:rPr>
                <w:b/>
                <w:bCs/>
                <w:sz w:val="18"/>
                <w:szCs w:val="18"/>
              </w:rPr>
            </w:pPr>
          </w:p>
        </w:tc>
        <w:tc>
          <w:tcPr>
            <w:tcW w:w="1134" w:type="dxa"/>
            <w:tcBorders>
              <w:top w:val="nil"/>
              <w:left w:val="single" w:sz="4" w:space="0" w:color="auto"/>
              <w:bottom w:val="single" w:sz="4" w:space="0" w:color="auto"/>
              <w:right w:val="single" w:sz="4" w:space="0" w:color="auto"/>
            </w:tcBorders>
            <w:shd w:val="clear" w:color="000000" w:fill="DCE6F1"/>
            <w:vAlign w:val="center"/>
          </w:tcPr>
          <w:p w:rsidR="004E3AC2" w:rsidRPr="004E3AC2" w:rsidRDefault="004E3AC2" w:rsidP="009115D8">
            <w:pPr>
              <w:ind w:right="35"/>
              <w:jc w:val="center"/>
              <w:rPr>
                <w:b/>
                <w:bCs/>
                <w:sz w:val="18"/>
                <w:szCs w:val="18"/>
              </w:rPr>
            </w:pPr>
          </w:p>
        </w:tc>
      </w:tr>
    </w:tbl>
    <w:p w:rsidR="006D12D2" w:rsidRPr="002F78CD" w:rsidRDefault="006D12D2" w:rsidP="006D12D2">
      <w:pPr>
        <w:tabs>
          <w:tab w:val="center" w:pos="4677"/>
          <w:tab w:val="right" w:pos="9355"/>
        </w:tabs>
        <w:jc w:val="both"/>
        <w:rPr>
          <w:sz w:val="16"/>
          <w:szCs w:val="16"/>
        </w:rPr>
      </w:pPr>
    </w:p>
    <w:p w:rsidR="00AB5F90" w:rsidRDefault="00B36A58" w:rsidP="00412F2A">
      <w:pPr>
        <w:pStyle w:val="Default"/>
        <w:spacing w:line="230" w:lineRule="auto"/>
        <w:ind w:firstLine="567"/>
        <w:jc w:val="both"/>
        <w:rPr>
          <w:i/>
          <w:sz w:val="22"/>
        </w:rPr>
      </w:pPr>
      <w:r w:rsidRPr="00237C40">
        <w:rPr>
          <w:sz w:val="22"/>
        </w:rPr>
        <w:t xml:space="preserve">Общая стоимость </w:t>
      </w:r>
      <w:r w:rsidR="002823DD" w:rsidRPr="00237C40">
        <w:rPr>
          <w:sz w:val="22"/>
        </w:rPr>
        <w:t>права использования программ для ЭВМ составляет</w:t>
      </w:r>
      <w:r w:rsidRPr="00237C40">
        <w:rPr>
          <w:sz w:val="22"/>
        </w:rPr>
        <w:t xml:space="preserve"> ____________________________________ рублей</w:t>
      </w:r>
      <w:r w:rsidR="00AB5F90" w:rsidRPr="00237C40">
        <w:rPr>
          <w:sz w:val="22"/>
        </w:rPr>
        <w:t xml:space="preserve"> ___ копеек, включая НДС</w:t>
      </w:r>
      <w:r w:rsidR="005579C0" w:rsidRPr="00237C40">
        <w:rPr>
          <w:sz w:val="22"/>
        </w:rPr>
        <w:t xml:space="preserve"> по ставке в соответствии с действующим законодательством Российской Федерации о налогах и сборах </w:t>
      </w:r>
      <w:r w:rsidR="00AB5F90" w:rsidRPr="00237C40">
        <w:rPr>
          <w:sz w:val="22"/>
        </w:rPr>
        <w:t>/НДС не облагается в соответствии с пунктом 2 статьи 346.11</w:t>
      </w:r>
      <w:r w:rsidR="005579C0" w:rsidRPr="00237C40">
        <w:rPr>
          <w:sz w:val="22"/>
        </w:rPr>
        <w:t>/п</w:t>
      </w:r>
      <w:r w:rsidR="002823DD" w:rsidRPr="00237C40">
        <w:rPr>
          <w:sz w:val="22"/>
        </w:rPr>
        <w:t>одпунктом 26 пунктом</w:t>
      </w:r>
      <w:r w:rsidR="005579C0" w:rsidRPr="00237C40">
        <w:rPr>
          <w:sz w:val="22"/>
        </w:rPr>
        <w:t xml:space="preserve"> 2 статьи 149</w:t>
      </w:r>
      <w:r w:rsidR="00AB5F90" w:rsidRPr="00237C40">
        <w:rPr>
          <w:sz w:val="22"/>
        </w:rPr>
        <w:t xml:space="preserve"> Налогового кодекса Российской Федерации </w:t>
      </w:r>
      <w:r w:rsidR="00AB5F90" w:rsidRPr="00237C40">
        <w:rPr>
          <w:i/>
          <w:sz w:val="22"/>
        </w:rPr>
        <w:t>(выбрать нужное</w:t>
      </w:r>
      <w:r w:rsidR="005D2152" w:rsidRPr="00237C40">
        <w:rPr>
          <w:i/>
          <w:sz w:val="22"/>
        </w:rPr>
        <w:t>).</w:t>
      </w:r>
    </w:p>
    <w:p w:rsidR="00D50FE5" w:rsidRPr="002F78CD" w:rsidRDefault="00D50FE5" w:rsidP="00412F2A">
      <w:pPr>
        <w:pStyle w:val="Default"/>
        <w:spacing w:line="230" w:lineRule="auto"/>
        <w:ind w:firstLine="567"/>
        <w:jc w:val="both"/>
        <w:rPr>
          <w:i/>
          <w:sz w:val="16"/>
          <w:szCs w:val="16"/>
        </w:rPr>
      </w:pPr>
    </w:p>
    <w:p w:rsidR="00D50FE5" w:rsidRPr="00D50FE5" w:rsidRDefault="00D50FE5" w:rsidP="00412F2A">
      <w:pPr>
        <w:pStyle w:val="Default"/>
        <w:spacing w:line="230" w:lineRule="auto"/>
        <w:ind w:firstLine="567"/>
        <w:jc w:val="both"/>
        <w:rPr>
          <w:sz w:val="22"/>
        </w:rPr>
      </w:pPr>
      <w:r w:rsidRPr="00D50FE5">
        <w:rPr>
          <w:sz w:val="22"/>
        </w:rPr>
        <w:t>В стоимости программ для ЭВМ учтены все возможные затраты Исполнителя, связанные с предоставлением права использования программ для ЭВМ, включая затраты на командировочные расходы, проживание, транспортные услуги, а также иные расходы, понесенные Исполнителем в связи с исполнением договора и уплатой других обязательных платежей в соответствии с законодательством Российской Федерации.</w:t>
      </w:r>
    </w:p>
    <w:p w:rsidR="00DF6355" w:rsidRPr="002F78CD" w:rsidRDefault="00DF6355" w:rsidP="00412F2A">
      <w:pPr>
        <w:pStyle w:val="Default"/>
        <w:spacing w:line="230" w:lineRule="auto"/>
        <w:jc w:val="both"/>
        <w:rPr>
          <w:sz w:val="18"/>
          <w:szCs w:val="18"/>
        </w:rPr>
      </w:pPr>
    </w:p>
    <w:p w:rsidR="00DF6355" w:rsidRPr="00237C40" w:rsidRDefault="00DF6355" w:rsidP="00412F2A">
      <w:pPr>
        <w:spacing w:line="230" w:lineRule="auto"/>
        <w:jc w:val="both"/>
        <w:rPr>
          <w:b/>
          <w:color w:val="000000"/>
          <w:sz w:val="22"/>
        </w:rPr>
      </w:pPr>
      <w:r w:rsidRPr="00237C40">
        <w:rPr>
          <w:b/>
          <w:color w:val="000000"/>
          <w:sz w:val="22"/>
        </w:rPr>
        <w:t>Полноту и правильность всех вышеприведенных данных подтверждаю.</w:t>
      </w:r>
    </w:p>
    <w:p w:rsidR="00B36A58" w:rsidRPr="002F78CD" w:rsidRDefault="00B36A58" w:rsidP="00412F2A">
      <w:pPr>
        <w:spacing w:line="230" w:lineRule="auto"/>
      </w:pPr>
    </w:p>
    <w:p w:rsidR="00B36A58" w:rsidRPr="00237C40" w:rsidRDefault="00B36A58" w:rsidP="00412F2A">
      <w:pPr>
        <w:widowControl w:val="0"/>
        <w:shd w:val="clear" w:color="auto" w:fill="FFFFFF"/>
        <w:tabs>
          <w:tab w:val="left" w:pos="3562"/>
          <w:tab w:val="left" w:leader="underscore" w:pos="5774"/>
          <w:tab w:val="left" w:leader="underscore" w:pos="8218"/>
        </w:tabs>
        <w:adjustRightInd w:val="0"/>
        <w:spacing w:line="230" w:lineRule="auto"/>
        <w:jc w:val="both"/>
        <w:textAlignment w:val="baseline"/>
        <w:rPr>
          <w:sz w:val="22"/>
        </w:rPr>
      </w:pPr>
      <w:r w:rsidRPr="00237C40">
        <w:rPr>
          <w:sz w:val="22"/>
        </w:rPr>
        <w:t>Руководитель организации (Уполномоченное лицо) ________________ / ________________ (ФИО)</w:t>
      </w:r>
    </w:p>
    <w:p w:rsidR="006D12D2" w:rsidRPr="00412F2A" w:rsidRDefault="00B36A58" w:rsidP="00412F2A">
      <w:pPr>
        <w:shd w:val="clear" w:color="auto" w:fill="FFFFFF"/>
        <w:tabs>
          <w:tab w:val="left" w:pos="3562"/>
          <w:tab w:val="left" w:leader="underscore" w:pos="5774"/>
          <w:tab w:val="left" w:leader="underscore" w:pos="8218"/>
        </w:tabs>
        <w:spacing w:before="120" w:line="230" w:lineRule="auto"/>
        <w:jc w:val="both"/>
        <w:rPr>
          <w:sz w:val="22"/>
        </w:rPr>
      </w:pPr>
      <w:proofErr w:type="spellStart"/>
      <w:r w:rsidRPr="00237C40">
        <w:rPr>
          <w:sz w:val="22"/>
        </w:rPr>
        <w:lastRenderedPageBreak/>
        <w:t>м.п</w:t>
      </w:r>
      <w:proofErr w:type="spellEnd"/>
      <w:r w:rsidRPr="00237C40">
        <w:rPr>
          <w:sz w:val="22"/>
        </w:rPr>
        <w:t>.                         Дата ____ / ___________ / ______</w:t>
      </w:r>
    </w:p>
    <w:sectPr w:rsidR="006D12D2" w:rsidRPr="00412F2A" w:rsidSect="00AB5F90">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A8" w:rsidRDefault="00CD4EA8" w:rsidP="00243E69">
      <w:r>
        <w:separator/>
      </w:r>
    </w:p>
  </w:endnote>
  <w:endnote w:type="continuationSeparator" w:id="0">
    <w:p w:rsidR="00CD4EA8" w:rsidRDefault="00CD4EA8" w:rsidP="0024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2A" w:rsidRDefault="00412F2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2A" w:rsidRDefault="00412F2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2A" w:rsidRDefault="00412F2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A8" w:rsidRDefault="00CD4EA8" w:rsidP="00243E69">
      <w:r>
        <w:separator/>
      </w:r>
    </w:p>
  </w:footnote>
  <w:footnote w:type="continuationSeparator" w:id="0">
    <w:p w:rsidR="00CD4EA8" w:rsidRDefault="00CD4EA8" w:rsidP="00243E69">
      <w:r>
        <w:continuationSeparator/>
      </w:r>
    </w:p>
  </w:footnote>
  <w:footnote w:id="1">
    <w:p w:rsidR="005579C0" w:rsidRPr="00237C40" w:rsidRDefault="005579C0">
      <w:pPr>
        <w:pStyle w:val="a3"/>
        <w:rPr>
          <w:sz w:val="18"/>
        </w:rPr>
      </w:pPr>
      <w:r w:rsidRPr="00237C40">
        <w:rPr>
          <w:rStyle w:val="a5"/>
          <w:sz w:val="18"/>
        </w:rPr>
        <w:footnoteRef/>
      </w:r>
      <w:r w:rsidRPr="00237C40">
        <w:rPr>
          <w:sz w:val="18"/>
        </w:rPr>
        <w:t xml:space="preserve"> В случае, если Участник является лицом, применяющим упрощенную систему налогообложения, столбец удалить.</w:t>
      </w:r>
    </w:p>
  </w:footnote>
  <w:footnote w:id="2">
    <w:p w:rsidR="005579C0" w:rsidRPr="00237C40" w:rsidRDefault="005579C0">
      <w:pPr>
        <w:pStyle w:val="a3"/>
        <w:rPr>
          <w:sz w:val="18"/>
        </w:rPr>
      </w:pPr>
      <w:r w:rsidRPr="00237C40">
        <w:rPr>
          <w:rStyle w:val="a5"/>
          <w:sz w:val="18"/>
        </w:rPr>
        <w:footnoteRef/>
      </w:r>
      <w:r w:rsidRPr="00237C40">
        <w:rPr>
          <w:sz w:val="18"/>
        </w:rPr>
        <w:t xml:space="preserve"> </w:t>
      </w:r>
      <w:r w:rsidR="002823DD" w:rsidRPr="00237C40">
        <w:rPr>
          <w:sz w:val="18"/>
        </w:rPr>
        <w:t>В случае если операции по реализации программ для ЭВМ не подлежат обложению НДС на основании ст. 149 НК РФ (пп.26, п.2), столбец удалить.</w:t>
      </w:r>
    </w:p>
  </w:footnote>
  <w:footnote w:id="3">
    <w:p w:rsidR="005579C0" w:rsidRPr="00237C40" w:rsidRDefault="005579C0">
      <w:pPr>
        <w:pStyle w:val="a3"/>
        <w:rPr>
          <w:sz w:val="18"/>
        </w:rPr>
      </w:pPr>
      <w:r w:rsidRPr="00237C40">
        <w:rPr>
          <w:rStyle w:val="a5"/>
          <w:sz w:val="18"/>
        </w:rPr>
        <w:footnoteRef/>
      </w:r>
      <w:r w:rsidRPr="00237C40">
        <w:rPr>
          <w:sz w:val="18"/>
        </w:rPr>
        <w:t xml:space="preserve"> В случае, если Участник является лицом, применяющим упрощенную систему налогообложения, столбец удалить.</w:t>
      </w:r>
    </w:p>
  </w:footnote>
  <w:footnote w:id="4">
    <w:p w:rsidR="005579C0" w:rsidRPr="00237C40" w:rsidRDefault="005579C0">
      <w:pPr>
        <w:pStyle w:val="a3"/>
        <w:rPr>
          <w:sz w:val="18"/>
        </w:rPr>
      </w:pPr>
      <w:r w:rsidRPr="00237C40">
        <w:rPr>
          <w:rStyle w:val="a5"/>
          <w:sz w:val="18"/>
        </w:rPr>
        <w:footnoteRef/>
      </w:r>
      <w:r w:rsidRPr="00237C40">
        <w:rPr>
          <w:sz w:val="18"/>
        </w:rPr>
        <w:t xml:space="preserve"> В случае, если Участник является лицом, применяющим упрощенную систему налогообложения, столбец удалить.</w:t>
      </w:r>
      <w:bookmarkStart w:id="0" w:name="_GoBack"/>
      <w:bookmarkEnd w:id="0"/>
    </w:p>
  </w:footnote>
  <w:footnote w:id="5">
    <w:p w:rsidR="005579C0" w:rsidRPr="00237C40" w:rsidRDefault="005579C0">
      <w:pPr>
        <w:pStyle w:val="a3"/>
        <w:rPr>
          <w:sz w:val="18"/>
        </w:rPr>
      </w:pPr>
      <w:r w:rsidRPr="00237C40">
        <w:rPr>
          <w:rStyle w:val="a5"/>
          <w:sz w:val="18"/>
        </w:rPr>
        <w:footnoteRef/>
      </w:r>
      <w:r w:rsidRPr="00237C40">
        <w:rPr>
          <w:sz w:val="18"/>
        </w:rPr>
        <w:t xml:space="preserve"> </w:t>
      </w:r>
      <w:r w:rsidR="002823DD" w:rsidRPr="00237C40">
        <w:rPr>
          <w:sz w:val="18"/>
        </w:rPr>
        <w:t>В случае если операции по реализации программ для ЭВМ не подлежат обложению НДС на основании ст. 149 НК РФ (пп.26, п.2), столбец удалить</w:t>
      </w:r>
      <w:r w:rsidRPr="00237C40">
        <w:rPr>
          <w:sz w:val="18"/>
        </w:rPr>
        <w:t>.</w:t>
      </w:r>
    </w:p>
  </w:footnote>
  <w:footnote w:id="6">
    <w:p w:rsidR="005579C0" w:rsidRDefault="005579C0">
      <w:pPr>
        <w:pStyle w:val="a3"/>
      </w:pPr>
      <w:r w:rsidRPr="00237C40">
        <w:rPr>
          <w:rStyle w:val="a5"/>
          <w:sz w:val="18"/>
        </w:rPr>
        <w:footnoteRef/>
      </w:r>
      <w:r w:rsidRPr="00237C40">
        <w:rPr>
          <w:sz w:val="18"/>
        </w:rPr>
        <w:t xml:space="preserve"> В случае, если Участник является лицом, применяющим упрощенную систему налогообложения, столбец удалить.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2A" w:rsidRDefault="00412F2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2A" w:rsidRPr="00412F2A" w:rsidRDefault="00412F2A" w:rsidP="00412F2A">
    <w:pPr>
      <w:tabs>
        <w:tab w:val="center" w:pos="4677"/>
        <w:tab w:val="right" w:pos="9355"/>
      </w:tabs>
      <w:jc w:val="right"/>
      <w:rPr>
        <w:rFonts w:eastAsia="Calibri"/>
        <w:i/>
      </w:rPr>
    </w:pPr>
    <w:r w:rsidRPr="00412F2A">
      <w:rPr>
        <w:rFonts w:eastAsia="Calibri"/>
        <w:i/>
      </w:rPr>
      <w:t xml:space="preserve">Приложение № </w:t>
    </w:r>
    <w:r>
      <w:rPr>
        <w:rFonts w:eastAsia="Calibri"/>
        <w:i/>
      </w:rPr>
      <w:t>4</w:t>
    </w:r>
  </w:p>
  <w:p w:rsidR="00412F2A" w:rsidRPr="00412F2A" w:rsidRDefault="00412F2A" w:rsidP="00412F2A">
    <w:pPr>
      <w:tabs>
        <w:tab w:val="center" w:pos="4677"/>
        <w:tab w:val="right" w:pos="9355"/>
      </w:tabs>
      <w:jc w:val="right"/>
      <w:rPr>
        <w:rFonts w:eastAsia="Calibri"/>
        <w:i/>
      </w:rPr>
    </w:pPr>
    <w:r w:rsidRPr="00412F2A">
      <w:rPr>
        <w:rFonts w:eastAsia="Calibri"/>
        <w:i/>
      </w:rPr>
      <w:t>к Документаци</w:t>
    </w:r>
    <w:r>
      <w:rPr>
        <w:rFonts w:eastAsia="Calibri"/>
        <w:i/>
      </w:rPr>
      <w:t>и</w:t>
    </w:r>
    <w:r w:rsidRPr="00412F2A">
      <w:rPr>
        <w:rFonts w:eastAsia="Calibri"/>
        <w:i/>
      </w:rPr>
      <w:t xml:space="preserve"> о маркетинговых исследованиях</w:t>
    </w:r>
  </w:p>
  <w:p w:rsidR="00412F2A" w:rsidRPr="00412F2A" w:rsidRDefault="00412F2A" w:rsidP="00412F2A">
    <w:pPr>
      <w:tabs>
        <w:tab w:val="center" w:pos="4677"/>
        <w:tab w:val="right" w:pos="9355"/>
      </w:tabs>
      <w:jc w:val="right"/>
      <w:rPr>
        <w:rFonts w:eastAsia="Calibri"/>
        <w:i/>
      </w:rPr>
    </w:pPr>
    <w:r w:rsidRPr="00412F2A">
      <w:rPr>
        <w:rFonts w:eastAsia="Calibri"/>
        <w:i/>
      </w:rPr>
      <w:t>№ 0061</w:t>
    </w:r>
    <w:r>
      <w:rPr>
        <w:rFonts w:eastAsia="Calibri"/>
        <w:i/>
      </w:rPr>
      <w:t>/22/2.1/0080335/ОТПТЭК</w:t>
    </w:r>
    <w:r w:rsidRPr="00412F2A">
      <w:rPr>
        <w:rFonts w:eastAsia="Calibri"/>
        <w:i/>
      </w:rPr>
      <w:t>/ПР/ГОС/Э/30.08.2022</w:t>
    </w:r>
  </w:p>
  <w:p w:rsidR="00412F2A" w:rsidRDefault="00412F2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2A" w:rsidRDefault="00412F2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9"/>
    <w:rsid w:val="000138B7"/>
    <w:rsid w:val="000D70F0"/>
    <w:rsid w:val="00137FB2"/>
    <w:rsid w:val="00173E62"/>
    <w:rsid w:val="001A599D"/>
    <w:rsid w:val="001E3EDF"/>
    <w:rsid w:val="00237C40"/>
    <w:rsid w:val="00240D09"/>
    <w:rsid w:val="00243E69"/>
    <w:rsid w:val="00250777"/>
    <w:rsid w:val="002823DD"/>
    <w:rsid w:val="002F78CD"/>
    <w:rsid w:val="00316785"/>
    <w:rsid w:val="00321CBD"/>
    <w:rsid w:val="00327AAC"/>
    <w:rsid w:val="003D2A05"/>
    <w:rsid w:val="00412F2A"/>
    <w:rsid w:val="004C251F"/>
    <w:rsid w:val="004E3AC2"/>
    <w:rsid w:val="004F4619"/>
    <w:rsid w:val="005579C0"/>
    <w:rsid w:val="005D2152"/>
    <w:rsid w:val="005D6C9F"/>
    <w:rsid w:val="006D12D2"/>
    <w:rsid w:val="007668CF"/>
    <w:rsid w:val="00772B81"/>
    <w:rsid w:val="007A290A"/>
    <w:rsid w:val="008500E7"/>
    <w:rsid w:val="00912408"/>
    <w:rsid w:val="009370B8"/>
    <w:rsid w:val="00966DB5"/>
    <w:rsid w:val="00A72496"/>
    <w:rsid w:val="00AB5F90"/>
    <w:rsid w:val="00B04E1E"/>
    <w:rsid w:val="00B36A58"/>
    <w:rsid w:val="00C246E3"/>
    <w:rsid w:val="00CD4EA8"/>
    <w:rsid w:val="00D312D7"/>
    <w:rsid w:val="00D50FE5"/>
    <w:rsid w:val="00D875C8"/>
    <w:rsid w:val="00DB54B4"/>
    <w:rsid w:val="00DC7ADA"/>
    <w:rsid w:val="00DF6355"/>
    <w:rsid w:val="00E13979"/>
    <w:rsid w:val="00E5711C"/>
    <w:rsid w:val="00E8401D"/>
    <w:rsid w:val="00EF4517"/>
    <w:rsid w:val="00F3265D"/>
    <w:rsid w:val="00FB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0923E-1F7F-4177-AF38-7F931B7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E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Знак Знак Знак Знак,Char Char,Текст сноски Знак2,Текст сноски Знак1 Знак,Текст сноски Знак Знак Знак Знак Знак,Текст сноски Знак Знак1 Знак,Текст сноски Знак1 Знак Знак Знак"/>
    <w:basedOn w:val="a"/>
    <w:link w:val="a4"/>
    <w:uiPriority w:val="99"/>
    <w:rsid w:val="00243E69"/>
  </w:style>
  <w:style w:type="character" w:customStyle="1" w:styleId="a4">
    <w:name w:val="Текст сноски Знак"/>
    <w:aliases w:val="Текст сноски Знак Знак Знак Знак,Знак Знак Знак Знак Знак,Char Char Знак,Текст сноски Знак2 Знак,Текст сноски Знак1 Знак Знак,Текст сноски Знак Знак Знак Знак Знак Знак,Текст сноски Знак Знак1 Знак Знак"/>
    <w:basedOn w:val="a0"/>
    <w:link w:val="a3"/>
    <w:uiPriority w:val="99"/>
    <w:rsid w:val="00243E69"/>
    <w:rPr>
      <w:rFonts w:ascii="Times New Roman" w:eastAsia="Times New Roman" w:hAnsi="Times New Roman" w:cs="Times New Roman"/>
      <w:sz w:val="20"/>
      <w:szCs w:val="20"/>
      <w:lang w:eastAsia="ru-RU"/>
    </w:rPr>
  </w:style>
  <w:style w:type="character" w:styleId="a5">
    <w:name w:val="footnote reference"/>
    <w:aliases w:val="Знак сноски 1,Знак сноски-FN"/>
    <w:uiPriority w:val="99"/>
    <w:rsid w:val="00243E69"/>
    <w:rPr>
      <w:vertAlign w:val="superscript"/>
    </w:rPr>
  </w:style>
  <w:style w:type="paragraph" w:customStyle="1" w:styleId="Default">
    <w:name w:val="Default"/>
    <w:rsid w:val="00243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B36A58"/>
    <w:rPr>
      <w:rFonts w:ascii="Segoe UI" w:hAnsi="Segoe UI" w:cs="Segoe UI"/>
      <w:sz w:val="18"/>
      <w:szCs w:val="18"/>
    </w:rPr>
  </w:style>
  <w:style w:type="character" w:customStyle="1" w:styleId="a7">
    <w:name w:val="Текст выноски Знак"/>
    <w:basedOn w:val="a0"/>
    <w:link w:val="a6"/>
    <w:uiPriority w:val="99"/>
    <w:semiHidden/>
    <w:rsid w:val="00B36A58"/>
    <w:rPr>
      <w:rFonts w:ascii="Segoe UI" w:eastAsia="Times New Roman" w:hAnsi="Segoe UI" w:cs="Segoe UI"/>
      <w:sz w:val="18"/>
      <w:szCs w:val="18"/>
      <w:lang w:eastAsia="ru-RU"/>
    </w:rPr>
  </w:style>
  <w:style w:type="paragraph" w:styleId="a8">
    <w:name w:val="header"/>
    <w:basedOn w:val="a"/>
    <w:link w:val="a9"/>
    <w:uiPriority w:val="99"/>
    <w:unhideWhenUsed/>
    <w:rsid w:val="00412F2A"/>
    <w:pPr>
      <w:tabs>
        <w:tab w:val="center" w:pos="4677"/>
        <w:tab w:val="right" w:pos="9355"/>
      </w:tabs>
    </w:pPr>
  </w:style>
  <w:style w:type="character" w:customStyle="1" w:styleId="a9">
    <w:name w:val="Верхний колонтитул Знак"/>
    <w:basedOn w:val="a0"/>
    <w:link w:val="a8"/>
    <w:uiPriority w:val="99"/>
    <w:rsid w:val="00412F2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12F2A"/>
    <w:pPr>
      <w:tabs>
        <w:tab w:val="center" w:pos="4677"/>
        <w:tab w:val="right" w:pos="9355"/>
      </w:tabs>
    </w:pPr>
  </w:style>
  <w:style w:type="character" w:customStyle="1" w:styleId="ab">
    <w:name w:val="Нижний колонтитул Знак"/>
    <w:basedOn w:val="a0"/>
    <w:link w:val="aa"/>
    <w:uiPriority w:val="99"/>
    <w:rsid w:val="00412F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078E-719C-4F44-8730-E16742CB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Мясных Любовь Алексеевна</dc:creator>
  <cp:keywords/>
  <dc:description/>
  <cp:lastModifiedBy>Муромцева Юлия Викторовна</cp:lastModifiedBy>
  <cp:revision>8</cp:revision>
  <cp:lastPrinted>2021-03-26T07:24:00Z</cp:lastPrinted>
  <dcterms:created xsi:type="dcterms:W3CDTF">2022-02-09T12:36:00Z</dcterms:created>
  <dcterms:modified xsi:type="dcterms:W3CDTF">2022-08-24T08:49:00Z</dcterms:modified>
</cp:coreProperties>
</file>